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88" w:line="360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房屋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租赁安全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生产管理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协议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88" w:line="420" w:lineRule="exact"/>
        <w:textAlignment w:val="auto"/>
        <w:rPr>
          <w:rFonts w:ascii="宋体"/>
          <w:b/>
          <w:bCs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出租方：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（以下简称“甲方”）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承租方：</w:t>
      </w:r>
      <w:r>
        <w:rPr>
          <w:rFonts w:ascii="宋体" w:hAnsi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（以下简称“乙方”）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明确租赁双方的安全管理责任，保证租赁期间的安全生产，双方根据《中华人民共和国安全生产法》《中华人民共和国消防法》《中华人民共和国民法典》《江苏省安全生产条例》等有关法律法规，国家现行标准规范，以及住建部、江苏省、连云港市政府有关租赁管理的规定规章等，经平等协商，签订本协议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共同遵守本协议所列条款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本协议为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u w:val="none"/>
        </w:rPr>
        <w:t xml:space="preserve">    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</w:rPr>
        <w:t>年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</w:rPr>
        <w:t>月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u w:val="none"/>
        </w:rPr>
        <w:t xml:space="preserve">  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</w:rPr>
        <w:t>日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lang w:val="en-US" w:eastAsia="zh-CN"/>
        </w:rPr>
        <w:t>甲乙双方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</w:rPr>
        <w:t>签订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  <w:u w:val="none"/>
          <w:lang w:val="en-US" w:eastAsia="zh-CN"/>
        </w:rPr>
        <w:t>房产</w:t>
      </w:r>
      <w:r>
        <w:rPr>
          <w:rFonts w:hint="eastAsia" w:ascii="宋体" w:hAnsi="宋体" w:eastAsia="宋体" w:cs="宋体"/>
          <w:bCs w:val="0"/>
          <w:color w:val="auto"/>
          <w:kern w:val="2"/>
          <w:sz w:val="21"/>
          <w:highlight w:val="none"/>
        </w:rPr>
        <w:t>租赁合同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补充协议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房产租赁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合同具有同样的法律效力：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甲方权利和责任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1.甲方要向乙方书面交清地下管网、危险源点和其他要害部位等安全注意事项。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2.甲方应对乙方的安全生产工作统一协调、管理。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3.甲方有权对乙方提交的资质证明等材料的完整性、真实性进行检查，如发现不完整或虚假，甲方有权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要求乙方补充材料。如因乙方原因造成的一切后果由乙方承担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，同时承担由此给甲方造成的全部直接和间接损失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4.甲方应对乙方安全生产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管理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体系的建立和运行、安全教育培训、安全检查等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经营过程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安全管理资料及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场进行安全监督检查并做好检查记录，有权向乙方询问有关安全措施落实情况，指导或提出安检意见和建议，乙方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积极配合并及时整改检查发现的安全隐患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如乙方证明其行为符合国家相关法律法规的可不整改，但因该事项造成甲乙双方一切损失均由乙方承担，甲方有权解除房产租赁合同并要求乙方支付年租金的20%作为违约金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.甲方应对所有出租房屋（厂房）进行登记，建立台账，加强安全管理。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.甲方发现乙方有安全生产违法行为，有权要求乙方停止违法行为，必要时及时向所在地的安监、消防等部门报告。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二、乙方权利和责任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1.乙方法定代表人为安全生产第一责任人，应严格遵守安全生产法律法规，全面负责承租场所的安全生产工作，并建立完善的安全生产责任制。因乙方的安全管理问题所导致的生产事故，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给甲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乙双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方造成的全部直接和间接损失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由乙方承担。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如乙方不在规定日期内整改，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甲方有权解除合同，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.乙方入驻前要对工作环境及相关设施进行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检查和确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认，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如有问题及时与甲方联系。</w:t>
      </w:r>
    </w:p>
    <w:p>
      <w:pPr>
        <w:widowControl/>
        <w:adjustRightInd w:val="0"/>
        <w:snapToGrid w:val="0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.乙方必须对自己提交的所有资质证明材料的完整性、真实性负责，不得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再行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再行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转租，不得改变租赁用途并承担一切因此产生的后果。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.乙方自觉接受安全生产监督管理部门的监督检查。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.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根据国家、省、市相关安全法律法规，如要求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乙方的主要负责人和安全管理人员，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必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须具备与所从事的生产经营活动相适应的安全生产知识和管理能力，接受法定培训，做到持证上岗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乙方的主要负责人和安全管理人员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必须按照法定要求严格执行，未按法定要求执行到位的，一切责任和后果由乙方承担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根据国家、省、市相关安全法律法规，要求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配备安全管理人员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落实安全管理人员及安全生产责任制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建立健全安全生产的各项规章制度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要求乙方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加强对从业人员的操作规程、消防安全、正确佩戴劳动防护用品、应急措施等日常教育和培训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；要求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特种作业人员做到持证上岗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制定事故防范措施和应急救援预案，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配备应急救援器材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/>
          <w:lang w:val="en-US" w:eastAsia="zh-CN"/>
        </w:rPr>
        <w:t>以及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急预案进行演练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的，乙方必须按法定要求严格执行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，未按法定要求执行到位的，一切责任和后果由乙方承担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.乙方应当保证安全投入，强化对管理区域危险源有效辨识，领会甲方《安全告知书》内容，使用合格的设备设施，配备符合要求的劳动防护用品，落实现场安全防护措施，保持安全风险可控。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.乙方必须正常开展日常安全检查，及时消除事故隐患。在装修和设备安装、维修、保养、检验检测时要符合有关技术标准和安全规定。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.乙方租赁范围内设备设施等危险点，应贴上警示标志，强化安全防护。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.乙方人员不准私自改变、拆卸、破坏甲方原有的房屋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厂房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结构和设施，对场所的公用设施要自觉维护，一旦损坏将要无条件赔付，及时恢复并承担由此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一切直接和间接损失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否则，甲方有权随时解除合同，并要求乙方支付年租金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0%的违约金，同时承担由此给甲方造成的全部直接和间接损失。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对甲方现有固定的电源线路，严禁私自更改或违章搭接，对必须更改的应提交书面申请，得到甲方同意后，在确保安全的情况下方可实施。若私自接线，造成一切后果由乙方负责，同时甲方有权拆除，有权拉闸停止供电。禁止超负荷使用电气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.乙方严禁存放超过国家法定数量的易燃、易爆物品及其他非法化学危险品，如因生产、经营需要使用或存放上述危险品，必须取得相关合法手续。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.乙方从事经营活动，必须符合消防安全规定，储存商品、货物的库房及生产车间严禁使用明火，不得用炉子直接取暖，车间、库房等场所严禁吸烟。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.乙方要按消防要求配备足够的消防器材，确保完好使用。保持消防通道畅通，禁止在房前门前及道路两侧堆放商品杂物等。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.乙方进行电焊、电力安装、吊装等特种作业，作业人员必须持有相关部门核发的特种作业证（在有效期内），并按规范进行作业。严禁切割有毒、有害、易燃、易爆等物体，防止出现事故或给他人造成损失。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乙方进行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动火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临时用电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特殊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作业，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应强化票证管理，落实安全防护措施，监护人现场监护。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.乙方必须对出入租赁区域场所人员（包括本单位人员、家属、临时用工、参观人员、装运人员等）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安全教育或有关安全方面的培训，强化外来人员安全管理。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.乙方在特殊天时（高温、寒冬、雷雨、大风等恶劣天气），在承租区域内加强防范应对措施，保护自己和他人人身财产安全。</w:t>
      </w:r>
    </w:p>
    <w:p>
      <w:pPr>
        <w:widowControl/>
        <w:adjustRightInd w:val="0"/>
        <w:snapToGrid w:val="0"/>
        <w:spacing w:line="42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.乙方必须服从甲方对其安全生产工作的统一协调管理，并依法负责本单位安全生产工作；发生生产安全事故时，应当及时告知甲方，并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按照国家有关规定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立即如实报告当地负有安全生产监督管理职责的部门，不得隐瞒不报、谎报或者迟报，不得故意破坏事故现场、毁灭有关证据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20.乙方应接受甲方有关部门的安全检查，对甲方提出的整改意见（依据国家法律法规、标准），乙方应依据要求整改。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 xml:space="preserve">、 附则：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20" w:firstLineChars="200"/>
        <w:contextualSpacing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1.本协议有效期，从 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年X月XX日起至 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X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年X月 XX日止。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2.如果乙方违反本协议项下任何条款，则产生的一切后果全部由乙方承担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（如果乙方拒绝承担，可从履约保证金中扣除）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，与甲方无关。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本协议在履行过程中发生争议，由双方协商解决，协商不成可向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/>
        </w:rPr>
        <w:t>房屋（厂房）所在地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人民法院起诉。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.本协议一式四份，甲方、乙方各二份，甲乙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方代表签字盖章后生效。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contextualSpacing w:val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甲方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盖章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 xml:space="preserve"> ：                        乙方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盖章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：</w:t>
      </w: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法人（或授权）代表签字：          法人（或授权）代表签字：</w:t>
      </w: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</w:pPr>
    </w:p>
    <w:p>
      <w:pPr>
        <w:snapToGrid w:val="0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/>
        </w:rPr>
        <w:t>年    月    日                       年     月    日</w:t>
      </w:r>
    </w:p>
    <w:p/>
    <w:sectPr>
      <w:footerReference r:id="rId3" w:type="default"/>
      <w:pgSz w:w="11906" w:h="16838"/>
      <w:pgMar w:top="1587" w:right="1417" w:bottom="1417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YzllYWY3M2RjYzE0Mzk0MzljODczNzBlOTEyZWIifQ=="/>
  </w:docVars>
  <w:rsids>
    <w:rsidRoot w:val="00000000"/>
    <w:rsid w:val="065C5D05"/>
    <w:rsid w:val="123F74CD"/>
    <w:rsid w:val="1A6C2804"/>
    <w:rsid w:val="1FF3381B"/>
    <w:rsid w:val="545F0CB8"/>
    <w:rsid w:val="5EC6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2540</Words>
  <Characters>2593</Characters>
  <Lines>0</Lines>
  <Paragraphs>0</Paragraphs>
  <TotalTime>0</TotalTime>
  <ScaleCrop>false</ScaleCrop>
  <LinksUpToDate>false</LinksUpToDate>
  <CharactersWithSpaces>2692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2024-06-24T01:57:00Z</dcterms:created>
  <dc:creator>Administrator</dc:creator>
  <cp:lastModifiedBy>王剑</cp:lastModifiedBy>
  <dcterms:modified xsi:type="dcterms:W3CDTF">2024-08-13T00:53:45Z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A6CA467F5ADF4FDEAAC19BAD504DBEA9_12</vt:lpwstr>
  </property>
</Properties>
</file>